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917" w:rsidRPr="00ED459F" w:rsidRDefault="009B248D" w:rsidP="00E64C5B">
      <w:pPr>
        <w:jc w:val="center"/>
        <w:rPr>
          <w:b/>
        </w:rPr>
      </w:pPr>
      <w:r w:rsidRPr="00ED459F">
        <w:rPr>
          <w:b/>
        </w:rPr>
        <w:t>Children's Services/Education Scrutiny Committees</w:t>
      </w:r>
    </w:p>
    <w:p w:rsidR="009B248D" w:rsidRPr="00ED459F" w:rsidRDefault="009B248D" w:rsidP="00ED459F">
      <w:pPr>
        <w:jc w:val="center"/>
        <w:rPr>
          <w:b/>
        </w:rPr>
      </w:pPr>
      <w:r w:rsidRPr="00ED459F">
        <w:rPr>
          <w:b/>
        </w:rPr>
        <w:t>Identifi</w:t>
      </w:r>
      <w:r w:rsidR="00E64C5B" w:rsidRPr="00ED459F">
        <w:rPr>
          <w:b/>
        </w:rPr>
        <w:t>ed Areas for Savings 2018/19 -</w:t>
      </w:r>
      <w:r w:rsidRPr="00ED459F">
        <w:rPr>
          <w:b/>
        </w:rPr>
        <w:t xml:space="preserve"> 2020/21</w:t>
      </w:r>
    </w:p>
    <w:tbl>
      <w:tblPr>
        <w:tblStyle w:val="TableGrid"/>
        <w:tblW w:w="14601" w:type="dxa"/>
        <w:tblInd w:w="-289" w:type="dxa"/>
        <w:tblLook w:val="04A0" w:firstRow="1" w:lastRow="0" w:firstColumn="1" w:lastColumn="0" w:noHBand="0" w:noVBand="1"/>
      </w:tblPr>
      <w:tblGrid>
        <w:gridCol w:w="1737"/>
        <w:gridCol w:w="1283"/>
        <w:gridCol w:w="1283"/>
        <w:gridCol w:w="3211"/>
        <w:gridCol w:w="3969"/>
        <w:gridCol w:w="1417"/>
        <w:gridCol w:w="1701"/>
      </w:tblGrid>
      <w:tr w:rsidR="00133F17" w:rsidTr="00133F17">
        <w:trPr>
          <w:tblHeader/>
        </w:trPr>
        <w:tc>
          <w:tcPr>
            <w:tcW w:w="1737" w:type="dxa"/>
            <w:shd w:val="clear" w:color="auto" w:fill="D0CECE" w:themeFill="background2" w:themeFillShade="E6"/>
          </w:tcPr>
          <w:p w:rsidR="00A12318" w:rsidRPr="00ED459F" w:rsidRDefault="00A12318">
            <w:pPr>
              <w:rPr>
                <w:b/>
              </w:rPr>
            </w:pPr>
            <w:r w:rsidRPr="00ED459F">
              <w:rPr>
                <w:b/>
              </w:rPr>
              <w:t>Service</w:t>
            </w:r>
          </w:p>
        </w:tc>
        <w:tc>
          <w:tcPr>
            <w:tcW w:w="1283" w:type="dxa"/>
            <w:shd w:val="clear" w:color="auto" w:fill="D0CECE" w:themeFill="background2" w:themeFillShade="E6"/>
          </w:tcPr>
          <w:p w:rsidR="00A12318" w:rsidRPr="00ED459F" w:rsidRDefault="00A12318">
            <w:pPr>
              <w:rPr>
                <w:b/>
              </w:rPr>
            </w:pPr>
            <w:r w:rsidRPr="00ED459F">
              <w:rPr>
                <w:b/>
              </w:rPr>
              <w:t>Saving Identified 2018/19</w:t>
            </w:r>
          </w:p>
        </w:tc>
        <w:tc>
          <w:tcPr>
            <w:tcW w:w="1283" w:type="dxa"/>
            <w:shd w:val="clear" w:color="auto" w:fill="D0CECE" w:themeFill="background2" w:themeFillShade="E6"/>
          </w:tcPr>
          <w:p w:rsidR="00A12318" w:rsidRPr="00ED459F" w:rsidRDefault="00A12318">
            <w:pPr>
              <w:rPr>
                <w:b/>
              </w:rPr>
            </w:pPr>
            <w:r w:rsidRPr="00ED459F">
              <w:rPr>
                <w:b/>
              </w:rPr>
              <w:t>Total Saving Identified</w:t>
            </w:r>
          </w:p>
        </w:tc>
        <w:tc>
          <w:tcPr>
            <w:tcW w:w="3211" w:type="dxa"/>
            <w:shd w:val="clear" w:color="auto" w:fill="D0CECE" w:themeFill="background2" w:themeFillShade="E6"/>
          </w:tcPr>
          <w:p w:rsidR="00A12318" w:rsidRPr="00ED459F" w:rsidRDefault="00A12318">
            <w:pPr>
              <w:rPr>
                <w:b/>
              </w:rPr>
            </w:pPr>
            <w:r>
              <w:rPr>
                <w:b/>
              </w:rPr>
              <w:t>Decisions Needed to Deliver the Budgeted Savings</w:t>
            </w:r>
          </w:p>
        </w:tc>
        <w:tc>
          <w:tcPr>
            <w:tcW w:w="3969" w:type="dxa"/>
            <w:shd w:val="clear" w:color="auto" w:fill="D0CECE" w:themeFill="background2" w:themeFillShade="E6"/>
          </w:tcPr>
          <w:p w:rsidR="00A12318" w:rsidRPr="00ED459F" w:rsidRDefault="00A12318">
            <w:pPr>
              <w:rPr>
                <w:b/>
              </w:rPr>
            </w:pPr>
            <w:r w:rsidRPr="00ED459F">
              <w:rPr>
                <w:b/>
              </w:rPr>
              <w:t>Impact</w:t>
            </w:r>
          </w:p>
        </w:tc>
        <w:tc>
          <w:tcPr>
            <w:tcW w:w="1417" w:type="dxa"/>
            <w:shd w:val="clear" w:color="auto" w:fill="D0CECE" w:themeFill="background2" w:themeFillShade="E6"/>
          </w:tcPr>
          <w:p w:rsidR="00A12318" w:rsidRPr="00ED459F" w:rsidRDefault="00A12318">
            <w:pPr>
              <w:rPr>
                <w:b/>
              </w:rPr>
            </w:pPr>
            <w:r w:rsidRPr="00ED459F">
              <w:rPr>
                <w:b/>
              </w:rPr>
              <w:t>Date Reported to Cabinet</w:t>
            </w:r>
          </w:p>
        </w:tc>
        <w:tc>
          <w:tcPr>
            <w:tcW w:w="1701" w:type="dxa"/>
            <w:shd w:val="clear" w:color="auto" w:fill="D0CECE" w:themeFill="background2" w:themeFillShade="E6"/>
          </w:tcPr>
          <w:p w:rsidR="00A12318" w:rsidRPr="00ED459F" w:rsidRDefault="00A12318">
            <w:pPr>
              <w:rPr>
                <w:b/>
              </w:rPr>
            </w:pPr>
            <w:r>
              <w:rPr>
                <w:b/>
              </w:rPr>
              <w:t>Education or Children's Services</w:t>
            </w:r>
          </w:p>
        </w:tc>
      </w:tr>
      <w:tr w:rsidR="00A12318" w:rsidTr="00133F17">
        <w:tc>
          <w:tcPr>
            <w:tcW w:w="1737" w:type="dxa"/>
          </w:tcPr>
          <w:p w:rsidR="00A12318" w:rsidRDefault="00A12318">
            <w:r>
              <w:t>Family Information Service</w:t>
            </w:r>
          </w:p>
          <w:p w:rsidR="00A12318" w:rsidRDefault="00A12318"/>
        </w:tc>
        <w:tc>
          <w:tcPr>
            <w:tcW w:w="1283" w:type="dxa"/>
          </w:tcPr>
          <w:p w:rsidR="00A12318" w:rsidRDefault="00A12318">
            <w:r>
              <w:t>£0.040m</w:t>
            </w:r>
          </w:p>
        </w:tc>
        <w:tc>
          <w:tcPr>
            <w:tcW w:w="1283" w:type="dxa"/>
          </w:tcPr>
          <w:p w:rsidR="00A12318" w:rsidRDefault="00A12318">
            <w:r>
              <w:t>£0.040m</w:t>
            </w:r>
          </w:p>
        </w:tc>
        <w:tc>
          <w:tcPr>
            <w:tcW w:w="3211" w:type="dxa"/>
          </w:tcPr>
          <w:p w:rsidR="00A12318" w:rsidRDefault="00A12318">
            <w:r>
              <w:t>Approval for the delivery of this statutory function through the Customer Access Services.</w:t>
            </w:r>
          </w:p>
          <w:p w:rsidR="00A12318" w:rsidRDefault="00A12318"/>
        </w:tc>
        <w:tc>
          <w:tcPr>
            <w:tcW w:w="3969" w:type="dxa"/>
          </w:tcPr>
          <w:p w:rsidR="00A12318" w:rsidRDefault="00A12318">
            <w:r>
              <w:t>This will involve the transfer of the service to the Customer Access Team</w:t>
            </w:r>
          </w:p>
          <w:p w:rsidR="00A12318" w:rsidRDefault="00A12318"/>
        </w:tc>
        <w:tc>
          <w:tcPr>
            <w:tcW w:w="1417" w:type="dxa"/>
          </w:tcPr>
          <w:p w:rsidR="00A12318" w:rsidRDefault="001C5946">
            <w:hyperlink r:id="rId8" w:history="1">
              <w:r w:rsidR="00A12318" w:rsidRPr="00E11CE8">
                <w:rPr>
                  <w:rStyle w:val="Hyperlink"/>
                </w:rPr>
                <w:t>Sept 17 Item 6 App D</w:t>
              </w:r>
            </w:hyperlink>
          </w:p>
        </w:tc>
        <w:tc>
          <w:tcPr>
            <w:tcW w:w="1701" w:type="dxa"/>
          </w:tcPr>
          <w:p w:rsidR="00A12318" w:rsidRDefault="00A12318">
            <w:r>
              <w:t>Children's Services</w:t>
            </w:r>
          </w:p>
        </w:tc>
      </w:tr>
      <w:tr w:rsidR="00A12318" w:rsidTr="00133F17">
        <w:tc>
          <w:tcPr>
            <w:tcW w:w="1737" w:type="dxa"/>
          </w:tcPr>
          <w:p w:rsidR="00A12318" w:rsidRPr="002C25D5" w:rsidRDefault="00A12318">
            <w:r w:rsidRPr="002C25D5">
              <w:t xml:space="preserve">Children's Social Care </w:t>
            </w:r>
            <w:r w:rsidR="0062728F">
              <w:t xml:space="preserve">(CSC) </w:t>
            </w:r>
            <w:r w:rsidRPr="002C25D5">
              <w:t>– Fostering and Residential</w:t>
            </w:r>
          </w:p>
          <w:p w:rsidR="00A12318" w:rsidRPr="002C25D5" w:rsidRDefault="00A12318"/>
        </w:tc>
        <w:tc>
          <w:tcPr>
            <w:tcW w:w="1283" w:type="dxa"/>
          </w:tcPr>
          <w:p w:rsidR="00A12318" w:rsidRPr="002C25D5" w:rsidRDefault="00A12318">
            <w:r w:rsidRPr="002C25D5">
              <w:t>£0.800m</w:t>
            </w:r>
          </w:p>
        </w:tc>
        <w:tc>
          <w:tcPr>
            <w:tcW w:w="1283" w:type="dxa"/>
          </w:tcPr>
          <w:p w:rsidR="00A12318" w:rsidRPr="002C25D5" w:rsidRDefault="00A12318">
            <w:r w:rsidRPr="002C25D5">
              <w:t>£0.800m</w:t>
            </w:r>
          </w:p>
        </w:tc>
        <w:tc>
          <w:tcPr>
            <w:tcW w:w="3211" w:type="dxa"/>
          </w:tcPr>
          <w:p w:rsidR="00A12318" w:rsidRDefault="00A12318">
            <w:r>
              <w:t>Agree to ensure that all education costs of external placement provision are against the Dedicated Schools Grant (DSG) that all therapeutic costs are charged to health.</w:t>
            </w:r>
          </w:p>
          <w:p w:rsidR="00A12318" w:rsidRPr="002C25D5" w:rsidRDefault="00A12318"/>
        </w:tc>
        <w:tc>
          <w:tcPr>
            <w:tcW w:w="3969" w:type="dxa"/>
          </w:tcPr>
          <w:p w:rsidR="00A12318" w:rsidRPr="002C25D5" w:rsidRDefault="00A12318">
            <w:r w:rsidRPr="002C25D5">
              <w:t>There is no direct impact on the service, there is however some potential future pressure on the DSG</w:t>
            </w:r>
          </w:p>
        </w:tc>
        <w:tc>
          <w:tcPr>
            <w:tcW w:w="1417" w:type="dxa"/>
          </w:tcPr>
          <w:p w:rsidR="00A12318" w:rsidRPr="002C25D5" w:rsidRDefault="001C5946">
            <w:hyperlink r:id="rId9" w:history="1">
              <w:r w:rsidR="00A12318" w:rsidRPr="00E11CE8">
                <w:rPr>
                  <w:rStyle w:val="Hyperlink"/>
                </w:rPr>
                <w:t>Sept 17 Item 6 App D</w:t>
              </w:r>
            </w:hyperlink>
          </w:p>
        </w:tc>
        <w:tc>
          <w:tcPr>
            <w:tcW w:w="1701" w:type="dxa"/>
          </w:tcPr>
          <w:p w:rsidR="001C5946" w:rsidRDefault="00A12318">
            <w:r>
              <w:t>Children's Services</w:t>
            </w:r>
            <w:r w:rsidR="001C5946">
              <w:t>/</w:t>
            </w:r>
          </w:p>
          <w:p w:rsidR="00A12318" w:rsidRPr="002C25D5" w:rsidRDefault="001C5946">
            <w:bookmarkStart w:id="0" w:name="_GoBack"/>
            <w:bookmarkEnd w:id="0"/>
            <w:r>
              <w:t>Education</w:t>
            </w:r>
          </w:p>
        </w:tc>
      </w:tr>
      <w:tr w:rsidR="00A12318" w:rsidTr="00133F17">
        <w:tc>
          <w:tcPr>
            <w:tcW w:w="1737" w:type="dxa"/>
          </w:tcPr>
          <w:p w:rsidR="00A12318" w:rsidRDefault="00A12318">
            <w:r>
              <w:t>Children's Social Care – Newton Europe Diagnostic</w:t>
            </w:r>
          </w:p>
          <w:p w:rsidR="00A12318" w:rsidRDefault="00A12318"/>
        </w:tc>
        <w:tc>
          <w:tcPr>
            <w:tcW w:w="1283" w:type="dxa"/>
          </w:tcPr>
          <w:p w:rsidR="00A12318" w:rsidRDefault="00A12318">
            <w:r>
              <w:t>£0.906m</w:t>
            </w:r>
          </w:p>
        </w:tc>
        <w:tc>
          <w:tcPr>
            <w:tcW w:w="1283" w:type="dxa"/>
          </w:tcPr>
          <w:p w:rsidR="00A12318" w:rsidRDefault="00A12318">
            <w:r>
              <w:t>£2.784m</w:t>
            </w:r>
          </w:p>
        </w:tc>
        <w:tc>
          <w:tcPr>
            <w:tcW w:w="3211" w:type="dxa"/>
          </w:tcPr>
          <w:p w:rsidR="00A12318" w:rsidRDefault="00A12318">
            <w:r>
              <w:t>If only cashable savings are ide</w:t>
            </w:r>
            <w:r w:rsidR="0062728F">
              <w:t>ntified with no invest to save, this is in the region of £2.74m that</w:t>
            </w:r>
            <w:r>
              <w:t xml:space="preserve"> focuses on service efficiency and effective use of social work time and resource that can be taken forward.</w:t>
            </w:r>
          </w:p>
          <w:p w:rsidR="0062728F" w:rsidRDefault="0062728F"/>
        </w:tc>
        <w:tc>
          <w:tcPr>
            <w:tcW w:w="3969" w:type="dxa"/>
          </w:tcPr>
          <w:p w:rsidR="00A12318" w:rsidRDefault="00A12318">
            <w:r>
              <w:t>Most effective and efficient practice which should reduce caseloads.  However, significant cultural shift required to move to this way of working.  This is consistent with the improvement work post Ofsted</w:t>
            </w:r>
          </w:p>
          <w:p w:rsidR="00A12318" w:rsidRDefault="00A12318"/>
        </w:tc>
        <w:tc>
          <w:tcPr>
            <w:tcW w:w="1417" w:type="dxa"/>
          </w:tcPr>
          <w:p w:rsidR="00A12318" w:rsidRDefault="001C5946">
            <w:hyperlink r:id="rId10" w:history="1">
              <w:r w:rsidR="00A12318" w:rsidRPr="00E11CE8">
                <w:rPr>
                  <w:rStyle w:val="Hyperlink"/>
                </w:rPr>
                <w:t>Sept 17 Item 6 App D</w:t>
              </w:r>
            </w:hyperlink>
          </w:p>
        </w:tc>
        <w:tc>
          <w:tcPr>
            <w:tcW w:w="1701" w:type="dxa"/>
          </w:tcPr>
          <w:p w:rsidR="00A12318" w:rsidRDefault="00A12318">
            <w:r>
              <w:t>Children's Services</w:t>
            </w:r>
          </w:p>
        </w:tc>
      </w:tr>
      <w:tr w:rsidR="00A12318" w:rsidTr="00133F17">
        <w:tc>
          <w:tcPr>
            <w:tcW w:w="1737" w:type="dxa"/>
          </w:tcPr>
          <w:p w:rsidR="00A12318" w:rsidRDefault="00A12318">
            <w:r>
              <w:t>S</w:t>
            </w:r>
            <w:r w:rsidR="00133F17">
              <w:t xml:space="preserve">END Service – Information, Advice and </w:t>
            </w:r>
            <w:r w:rsidR="00133F17">
              <w:lastRenderedPageBreak/>
              <w:t>Support (IAS) Team</w:t>
            </w:r>
          </w:p>
          <w:p w:rsidR="00A12318" w:rsidRDefault="00A12318"/>
        </w:tc>
        <w:tc>
          <w:tcPr>
            <w:tcW w:w="1283" w:type="dxa"/>
          </w:tcPr>
          <w:p w:rsidR="00A12318" w:rsidRDefault="00A12318">
            <w:r>
              <w:lastRenderedPageBreak/>
              <w:t>£0.265m</w:t>
            </w:r>
          </w:p>
        </w:tc>
        <w:tc>
          <w:tcPr>
            <w:tcW w:w="1283" w:type="dxa"/>
          </w:tcPr>
          <w:p w:rsidR="00A12318" w:rsidRDefault="00A12318">
            <w:r>
              <w:t>£0.265m</w:t>
            </w:r>
          </w:p>
        </w:tc>
        <w:tc>
          <w:tcPr>
            <w:tcW w:w="3211" w:type="dxa"/>
          </w:tcPr>
          <w:p w:rsidR="00A12318" w:rsidRDefault="00A12318">
            <w:r>
              <w:t xml:space="preserve">Agree to a job evaluation and function review of the recently merged </w:t>
            </w:r>
            <w:r>
              <w:lastRenderedPageBreak/>
              <w:t>Information, Advice and Support Team.</w:t>
            </w:r>
          </w:p>
          <w:p w:rsidR="00A12318" w:rsidRDefault="00A12318"/>
          <w:p w:rsidR="00A12318" w:rsidRDefault="00A12318">
            <w:r>
              <w:t>Reduce the revenue budget from 1 April 2018 by £0.265m.</w:t>
            </w:r>
          </w:p>
        </w:tc>
        <w:tc>
          <w:tcPr>
            <w:tcW w:w="3969" w:type="dxa"/>
          </w:tcPr>
          <w:p w:rsidR="00A12318" w:rsidRDefault="00A12318" w:rsidP="00545B84">
            <w:pPr>
              <w:pStyle w:val="ListParagraph"/>
              <w:numPr>
                <w:ilvl w:val="0"/>
                <w:numId w:val="10"/>
              </w:numPr>
            </w:pPr>
            <w:r>
              <w:lastRenderedPageBreak/>
              <w:t xml:space="preserve">A single team sat within the SEND service is best placed to be aware and continue to be </w:t>
            </w:r>
            <w:r>
              <w:lastRenderedPageBreak/>
              <w:t xml:space="preserve">updated on </w:t>
            </w:r>
            <w:r w:rsidR="00CA7C38">
              <w:t>SEND local policy and practices.</w:t>
            </w:r>
          </w:p>
          <w:p w:rsidR="00A12318" w:rsidRDefault="00A12318" w:rsidP="00545B84">
            <w:pPr>
              <w:pStyle w:val="ListParagraph"/>
              <w:numPr>
                <w:ilvl w:val="0"/>
                <w:numId w:val="10"/>
              </w:numPr>
            </w:pPr>
            <w:r>
              <w:t>The team developing and updating the Local Offer are best placed to provide accurate and up to date IAS on the Local Offer.</w:t>
            </w:r>
          </w:p>
          <w:p w:rsidR="00A12318" w:rsidRDefault="00A12318" w:rsidP="00545B84">
            <w:pPr>
              <w:pStyle w:val="ListParagraph"/>
              <w:numPr>
                <w:ilvl w:val="0"/>
                <w:numId w:val="10"/>
              </w:numPr>
            </w:pPr>
            <w:r>
              <w:t>Children and young people with SEND and their families are provided with a clear 'front door' into the SEND Service, which will quickly identify needs and are directed to the most appropriate service.  An 8.45am – 5pm Monday to Friday, dedicated IAS telephone help line, would form part of this 'front door'.</w:t>
            </w:r>
          </w:p>
          <w:p w:rsidR="00A12318" w:rsidRDefault="00A12318" w:rsidP="00545B84">
            <w:pPr>
              <w:pStyle w:val="ListParagraph"/>
              <w:numPr>
                <w:ilvl w:val="0"/>
                <w:numId w:val="10"/>
              </w:numPr>
            </w:pPr>
            <w:r>
              <w:t>The new team would use the proposed SEND IT platform as all the needed information is available in one location with an option for confidential records, if requested by the family.</w:t>
            </w:r>
          </w:p>
          <w:p w:rsidR="00A12318" w:rsidRDefault="00A12318" w:rsidP="001E5CC7">
            <w:pPr>
              <w:pStyle w:val="ListParagraph"/>
              <w:numPr>
                <w:ilvl w:val="0"/>
                <w:numId w:val="10"/>
              </w:numPr>
            </w:pPr>
            <w:r>
              <w:t>A triage system will target intensive support to vulnerable groups of parents/carers whilst still providing a service to all parents/carers.</w:t>
            </w:r>
          </w:p>
        </w:tc>
        <w:tc>
          <w:tcPr>
            <w:tcW w:w="1417" w:type="dxa"/>
          </w:tcPr>
          <w:p w:rsidR="00A12318" w:rsidRDefault="001C5946">
            <w:hyperlink r:id="rId11" w:history="1">
              <w:r w:rsidR="00A12318">
                <w:rPr>
                  <w:rStyle w:val="Hyperlink"/>
                </w:rPr>
                <w:t>Oct 17 Item 4 App A</w:t>
              </w:r>
            </w:hyperlink>
          </w:p>
        </w:tc>
        <w:tc>
          <w:tcPr>
            <w:tcW w:w="1701" w:type="dxa"/>
          </w:tcPr>
          <w:p w:rsidR="00A12318" w:rsidRDefault="00A12318">
            <w:r>
              <w:t>Children's Services</w:t>
            </w:r>
          </w:p>
        </w:tc>
      </w:tr>
      <w:tr w:rsidR="00A12318" w:rsidTr="00133F17">
        <w:tc>
          <w:tcPr>
            <w:tcW w:w="1737" w:type="dxa"/>
          </w:tcPr>
          <w:p w:rsidR="00A12318" w:rsidRDefault="00A12318" w:rsidP="00A14DE8">
            <w:r>
              <w:lastRenderedPageBreak/>
              <w:t>Supporting Carers of Children and Young People Looked After Together (SCAYT+)</w:t>
            </w:r>
            <w:r w:rsidR="00F36DA4">
              <w:t xml:space="preserve"> –</w:t>
            </w:r>
            <w:r w:rsidR="00A14DE8">
              <w:t xml:space="preserve">(for </w:t>
            </w:r>
            <w:r w:rsidR="00F36DA4">
              <w:t>consultation only</w:t>
            </w:r>
            <w:r w:rsidR="00A14DE8">
              <w:t>)</w:t>
            </w:r>
          </w:p>
        </w:tc>
        <w:tc>
          <w:tcPr>
            <w:tcW w:w="1283" w:type="dxa"/>
          </w:tcPr>
          <w:p w:rsidR="00A12318" w:rsidRDefault="00A12318">
            <w:r>
              <w:t>£0.225m</w:t>
            </w:r>
          </w:p>
        </w:tc>
        <w:tc>
          <w:tcPr>
            <w:tcW w:w="1283" w:type="dxa"/>
          </w:tcPr>
          <w:p w:rsidR="00A12318" w:rsidRDefault="00A12318">
            <w:r>
              <w:t>£0.450m</w:t>
            </w:r>
          </w:p>
        </w:tc>
        <w:tc>
          <w:tcPr>
            <w:tcW w:w="3211" w:type="dxa"/>
          </w:tcPr>
          <w:p w:rsidR="00545B84" w:rsidRDefault="00A12318" w:rsidP="00545B84">
            <w:r>
              <w:t xml:space="preserve">Agree to redirect the work of SCAYT so it generates income by providing specialist multi-agency assessment and intervention to children and families who attract funding from the Adoption Support Fund.  </w:t>
            </w:r>
          </w:p>
          <w:p w:rsidR="00A12318" w:rsidRDefault="00A12318" w:rsidP="00545B84"/>
          <w:p w:rsidR="00A12318" w:rsidRDefault="00A12318" w:rsidP="0019028E">
            <w:r>
              <w:t>Please note this could potentially be a 2 year saving unless the adoption support fund is extended.  At this stage it has been assumed that this saving is recurrent.</w:t>
            </w:r>
          </w:p>
        </w:tc>
        <w:tc>
          <w:tcPr>
            <w:tcW w:w="3969" w:type="dxa"/>
          </w:tcPr>
          <w:p w:rsidR="00A12318" w:rsidRDefault="00A12318">
            <w:r>
              <w:t>Positive impact:</w:t>
            </w:r>
          </w:p>
          <w:p w:rsidR="00A12318" w:rsidRDefault="00A12318" w:rsidP="008E13E9">
            <w:pPr>
              <w:pStyle w:val="ListParagraph"/>
              <w:numPr>
                <w:ilvl w:val="0"/>
                <w:numId w:val="5"/>
              </w:numPr>
            </w:pPr>
            <w:r>
              <w:t>Decrease in breakdown of placements for children who are subject</w:t>
            </w:r>
            <w:r w:rsidR="00545B84">
              <w:t xml:space="preserve"> to Special Guardianship Order</w:t>
            </w:r>
            <w:r>
              <w:t>, which often result in CSC providing costly placements or at the least foster placements.</w:t>
            </w:r>
          </w:p>
          <w:p w:rsidR="00A12318" w:rsidRDefault="00A12318" w:rsidP="008E13E9">
            <w:pPr>
              <w:pStyle w:val="ListParagraph"/>
              <w:numPr>
                <w:ilvl w:val="0"/>
                <w:numId w:val="5"/>
              </w:numPr>
            </w:pPr>
            <w:r>
              <w:t>Decrease in need for CSC intervention at level 4 at a later stage in the child's life.</w:t>
            </w:r>
          </w:p>
          <w:p w:rsidR="00545B84" w:rsidRDefault="00A12318" w:rsidP="00545B84">
            <w:pPr>
              <w:pStyle w:val="ListParagraph"/>
              <w:numPr>
                <w:ilvl w:val="0"/>
                <w:numId w:val="5"/>
              </w:numPr>
            </w:pPr>
            <w:r>
              <w:t>Increase in the emotional wellbeing and educational attainment of this cohort of children.</w:t>
            </w:r>
          </w:p>
          <w:p w:rsidR="00545B84" w:rsidRDefault="00545B84" w:rsidP="00545B84"/>
          <w:p w:rsidR="00A12318" w:rsidRDefault="00A12318" w:rsidP="008E13E9">
            <w:r>
              <w:t>Negative impact:</w:t>
            </w:r>
          </w:p>
          <w:p w:rsidR="00A12318" w:rsidRDefault="00A12318" w:rsidP="00AD6C88">
            <w:pPr>
              <w:pStyle w:val="ListParagraph"/>
              <w:numPr>
                <w:ilvl w:val="0"/>
                <w:numId w:val="6"/>
              </w:numPr>
            </w:pPr>
            <w:r>
              <w:t>Possible increase in placement break</w:t>
            </w:r>
            <w:r w:rsidR="00155311">
              <w:t>downs for looked after children</w:t>
            </w:r>
            <w:r>
              <w:t>.</w:t>
            </w:r>
          </w:p>
          <w:p w:rsidR="00A12318" w:rsidRDefault="00155311" w:rsidP="00AD6C88">
            <w:pPr>
              <w:pStyle w:val="ListParagraph"/>
              <w:numPr>
                <w:ilvl w:val="0"/>
                <w:numId w:val="6"/>
              </w:numPr>
            </w:pPr>
            <w:r>
              <w:t>R</w:t>
            </w:r>
            <w:r w:rsidR="00A12318">
              <w:t>isk that as young people experience more placement breakdowns the costs of future placements increases.</w:t>
            </w:r>
          </w:p>
          <w:p w:rsidR="00A12318" w:rsidRDefault="00A12318" w:rsidP="00AD6C88">
            <w:pPr>
              <w:pStyle w:val="ListParagraph"/>
              <w:numPr>
                <w:ilvl w:val="0"/>
                <w:numId w:val="6"/>
              </w:numPr>
            </w:pPr>
            <w:r>
              <w:t>Lack of ability to challenge court requested therapeutic services</w:t>
            </w:r>
          </w:p>
          <w:p w:rsidR="00A12318" w:rsidRDefault="00A12318" w:rsidP="00AD6C88">
            <w:pPr>
              <w:pStyle w:val="ListParagraph"/>
              <w:numPr>
                <w:ilvl w:val="0"/>
                <w:numId w:val="6"/>
              </w:numPr>
            </w:pPr>
            <w:r>
              <w:t xml:space="preserve">Children and Young Peoples' emotional needs remain unmet; </w:t>
            </w:r>
            <w:r>
              <w:lastRenderedPageBreak/>
              <w:t>increase in risk taking behaviour, self-harming behaviour, poor emotional and mental health.</w:t>
            </w:r>
          </w:p>
          <w:p w:rsidR="00A12318" w:rsidRDefault="00A12318" w:rsidP="00AD6C88">
            <w:pPr>
              <w:pStyle w:val="ListParagraph"/>
              <w:numPr>
                <w:ilvl w:val="0"/>
                <w:numId w:val="6"/>
              </w:numPr>
            </w:pPr>
            <w:r>
              <w:t>Future costs to adult services as young people enter adulthood with unmet emotional and mental health needs.</w:t>
            </w:r>
          </w:p>
          <w:p w:rsidR="00155311" w:rsidRDefault="00155311" w:rsidP="00155311">
            <w:pPr>
              <w:pStyle w:val="ListParagraph"/>
              <w:ind w:left="360"/>
            </w:pPr>
          </w:p>
        </w:tc>
        <w:tc>
          <w:tcPr>
            <w:tcW w:w="1417" w:type="dxa"/>
          </w:tcPr>
          <w:p w:rsidR="00A12318" w:rsidRDefault="001C5946">
            <w:hyperlink r:id="rId12" w:history="1">
              <w:r w:rsidR="00A12318">
                <w:rPr>
                  <w:rStyle w:val="Hyperlink"/>
                </w:rPr>
                <w:t>Jan 18 Item 4 App C</w:t>
              </w:r>
            </w:hyperlink>
          </w:p>
        </w:tc>
        <w:tc>
          <w:tcPr>
            <w:tcW w:w="1701" w:type="dxa"/>
          </w:tcPr>
          <w:p w:rsidR="00A12318" w:rsidRDefault="00A12318">
            <w:r>
              <w:t>Children's Services</w:t>
            </w:r>
          </w:p>
        </w:tc>
      </w:tr>
      <w:tr w:rsidR="00A12318" w:rsidTr="00133F17">
        <w:tc>
          <w:tcPr>
            <w:tcW w:w="1737" w:type="dxa"/>
          </w:tcPr>
          <w:p w:rsidR="00A12318" w:rsidRDefault="00A12318">
            <w:r>
              <w:t>Youth Offending Team (YOT)</w:t>
            </w:r>
            <w:r w:rsidR="00F36DA4">
              <w:t xml:space="preserve"> – </w:t>
            </w:r>
            <w:r w:rsidR="00A14DE8">
              <w:t>(for consultation only)</w:t>
            </w:r>
          </w:p>
        </w:tc>
        <w:tc>
          <w:tcPr>
            <w:tcW w:w="1283" w:type="dxa"/>
          </w:tcPr>
          <w:p w:rsidR="00A12318" w:rsidRDefault="00A12318">
            <w:r>
              <w:t>£0.336m</w:t>
            </w:r>
          </w:p>
        </w:tc>
        <w:tc>
          <w:tcPr>
            <w:tcW w:w="1283" w:type="dxa"/>
          </w:tcPr>
          <w:p w:rsidR="00A12318" w:rsidRDefault="00A12318">
            <w:r>
              <w:t>£0.336m</w:t>
            </w:r>
          </w:p>
        </w:tc>
        <w:tc>
          <w:tcPr>
            <w:tcW w:w="3211" w:type="dxa"/>
          </w:tcPr>
          <w:p w:rsidR="00A12318" w:rsidRDefault="00A12318">
            <w:r>
              <w:t>The numbers of young people who are first time entrants to the youth justice system has declined and therefore the service is in a position to contribute to the budget savings.  A full service restructure would be necessary to enable a 25% reduction in LCC's contribution to the budget.</w:t>
            </w:r>
          </w:p>
          <w:p w:rsidR="00A12318" w:rsidRDefault="00A12318"/>
        </w:tc>
        <w:tc>
          <w:tcPr>
            <w:tcW w:w="3969" w:type="dxa"/>
          </w:tcPr>
          <w:p w:rsidR="00A12318" w:rsidRDefault="00A12318">
            <w:r>
              <w:t>To achieve the savings outlined, a full service restructure would be required, amounting to a total of £0.804m.  The service last restructured in September 2016, the impact of which was considerable for some staff.</w:t>
            </w:r>
          </w:p>
          <w:p w:rsidR="00A12318" w:rsidRDefault="00A12318">
            <w:r>
              <w:t>A further restructure will impact on service and staff morale and compulsory redundancy is likely.</w:t>
            </w:r>
          </w:p>
          <w:p w:rsidR="00A12318" w:rsidRDefault="00A12318">
            <w:r>
              <w:t>Service delivery may be impacted upon during the period of restructure and increase risk if inspected.</w:t>
            </w:r>
          </w:p>
          <w:p w:rsidR="00A12318" w:rsidRDefault="00A12318"/>
          <w:p w:rsidR="00A12318" w:rsidRDefault="00A12318">
            <w:r>
              <w:t>If offending rates do increase the service may not be able to fulfil its statutory functions.</w:t>
            </w:r>
          </w:p>
          <w:p w:rsidR="00A12318" w:rsidRDefault="00A12318"/>
        </w:tc>
        <w:tc>
          <w:tcPr>
            <w:tcW w:w="1417" w:type="dxa"/>
          </w:tcPr>
          <w:p w:rsidR="00A12318" w:rsidRDefault="001C5946">
            <w:hyperlink r:id="rId13" w:history="1">
              <w:r w:rsidR="00A12318">
                <w:rPr>
                  <w:rStyle w:val="Hyperlink"/>
                </w:rPr>
                <w:t>Jan 18 Item 4 App C</w:t>
              </w:r>
            </w:hyperlink>
          </w:p>
        </w:tc>
        <w:tc>
          <w:tcPr>
            <w:tcW w:w="1701" w:type="dxa"/>
          </w:tcPr>
          <w:p w:rsidR="00A12318" w:rsidRDefault="00A12318">
            <w:r>
              <w:t>Children's Services</w:t>
            </w:r>
          </w:p>
        </w:tc>
      </w:tr>
      <w:tr w:rsidR="00A12318" w:rsidTr="00133F17">
        <w:tc>
          <w:tcPr>
            <w:tcW w:w="1737" w:type="dxa"/>
          </w:tcPr>
          <w:p w:rsidR="00A12318" w:rsidRDefault="00A12318">
            <w:r>
              <w:lastRenderedPageBreak/>
              <w:t>Children and Family Wellbeing Service</w:t>
            </w:r>
            <w:r w:rsidR="00F36DA4">
              <w:t xml:space="preserve"> – </w:t>
            </w:r>
            <w:r w:rsidR="00A14DE8">
              <w:t>(for consultation only)</w:t>
            </w:r>
          </w:p>
        </w:tc>
        <w:tc>
          <w:tcPr>
            <w:tcW w:w="1283" w:type="dxa"/>
          </w:tcPr>
          <w:p w:rsidR="00A12318" w:rsidRDefault="00A12318">
            <w:r>
              <w:t>£1.250m</w:t>
            </w:r>
          </w:p>
        </w:tc>
        <w:tc>
          <w:tcPr>
            <w:tcW w:w="1283" w:type="dxa"/>
          </w:tcPr>
          <w:p w:rsidR="00A12318" w:rsidRDefault="00A12318">
            <w:r>
              <w:t>£1.250m</w:t>
            </w:r>
          </w:p>
        </w:tc>
        <w:tc>
          <w:tcPr>
            <w:tcW w:w="3211" w:type="dxa"/>
          </w:tcPr>
          <w:p w:rsidR="00A12318" w:rsidRDefault="00A12318">
            <w:r>
              <w:t>Agree to reduce the non-staffing budget by £0.750m.  This will reduce the resource made available to each district to deliver the core offer of the service.</w:t>
            </w:r>
          </w:p>
          <w:p w:rsidR="00A12318" w:rsidRDefault="00A12318"/>
          <w:p w:rsidR="00A12318" w:rsidRDefault="00A12318" w:rsidP="007D412A">
            <w:r>
              <w:t>Agree to reduce the staffing budget by £0.500m.  In order to achieve this proposal, the current staffing resourc</w:t>
            </w:r>
            <w:r w:rsidR="00EA5F0D">
              <w:t>e would need to be reconfigured:</w:t>
            </w:r>
          </w:p>
          <w:p w:rsidR="00A12318" w:rsidRDefault="00A12318" w:rsidP="007D412A"/>
          <w:p w:rsidR="00A12318" w:rsidRDefault="00A12318" w:rsidP="007D412A">
            <w:r>
              <w:t xml:space="preserve">Agree to convert 8.19 </w:t>
            </w:r>
            <w:proofErr w:type="spellStart"/>
            <w:r>
              <w:t>fte</w:t>
            </w:r>
            <w:proofErr w:type="spellEnd"/>
            <w:r>
              <w:t xml:space="preserve"> posts at Grade 6 to create 6 new </w:t>
            </w:r>
            <w:proofErr w:type="spellStart"/>
            <w:r>
              <w:t>fte</w:t>
            </w:r>
            <w:proofErr w:type="spellEnd"/>
            <w:r>
              <w:t xml:space="preserve"> Grade 8 posts as Family Group Conference Coordinators for a targeted model of delivery.</w:t>
            </w:r>
          </w:p>
          <w:p w:rsidR="00A12318" w:rsidRDefault="00A12318" w:rsidP="007D412A"/>
          <w:p w:rsidR="00A12318" w:rsidRDefault="00A12318" w:rsidP="007D412A">
            <w:r>
              <w:t xml:space="preserve">Agree to convert 12.08fte vacant resource Grade 4 to develop and implement a suitable 'commissioning framework' to enable commissioning of Voluntary and Community Faith Sector providers to deliver </w:t>
            </w:r>
            <w:r>
              <w:lastRenderedPageBreak/>
              <w:t>priority targeted activity for young people.</w:t>
            </w:r>
          </w:p>
          <w:p w:rsidR="00A12318" w:rsidRDefault="00A12318" w:rsidP="007D412A"/>
          <w:p w:rsidR="00A12318" w:rsidRDefault="00A12318" w:rsidP="007D412A">
            <w:r>
              <w:t>Agree to reconfigure remaining current staffing structure to prioritise:</w:t>
            </w:r>
          </w:p>
          <w:p w:rsidR="00A12318" w:rsidRDefault="00A12318" w:rsidP="007D412A">
            <w:pPr>
              <w:pStyle w:val="ListParagraph"/>
              <w:numPr>
                <w:ilvl w:val="0"/>
                <w:numId w:val="7"/>
              </w:numPr>
            </w:pPr>
            <w:r>
              <w:t>Case holding roles and functions</w:t>
            </w:r>
          </w:p>
          <w:p w:rsidR="00A12318" w:rsidRDefault="00A12318" w:rsidP="007D412A">
            <w:pPr>
              <w:pStyle w:val="ListParagraph"/>
              <w:numPr>
                <w:ilvl w:val="0"/>
                <w:numId w:val="7"/>
              </w:numPr>
            </w:pPr>
            <w:r>
              <w:t>Resources to ensure minimum statutory responsibilities</w:t>
            </w:r>
            <w:r w:rsidR="00EA5F0D">
              <w:t xml:space="preserve"> are met</w:t>
            </w:r>
          </w:p>
          <w:p w:rsidR="00A12318" w:rsidRDefault="00A12318" w:rsidP="007D412A">
            <w:pPr>
              <w:pStyle w:val="ListParagraph"/>
              <w:numPr>
                <w:ilvl w:val="0"/>
                <w:numId w:val="7"/>
              </w:numPr>
            </w:pPr>
            <w:r>
              <w:t>Management ov</w:t>
            </w:r>
            <w:r w:rsidR="00296EA5">
              <w:t xml:space="preserve">ersight and supervision </w:t>
            </w:r>
          </w:p>
          <w:p w:rsidR="00A12318" w:rsidRDefault="00A12318" w:rsidP="007D412A">
            <w:pPr>
              <w:pStyle w:val="ListParagraph"/>
              <w:numPr>
                <w:ilvl w:val="0"/>
                <w:numId w:val="7"/>
              </w:numPr>
            </w:pPr>
            <w:r>
              <w:t>Outreach and Group Work offer</w:t>
            </w:r>
          </w:p>
          <w:p w:rsidR="00A12318" w:rsidRDefault="00A12318" w:rsidP="00A836CB">
            <w:pPr>
              <w:pStyle w:val="ListParagraph"/>
              <w:ind w:left="360"/>
            </w:pPr>
          </w:p>
        </w:tc>
        <w:tc>
          <w:tcPr>
            <w:tcW w:w="3969" w:type="dxa"/>
          </w:tcPr>
          <w:p w:rsidR="00A12318" w:rsidRDefault="00A12318" w:rsidP="007D412A">
            <w:pPr>
              <w:pStyle w:val="ListParagraph"/>
              <w:numPr>
                <w:ilvl w:val="0"/>
                <w:numId w:val="7"/>
              </w:numPr>
            </w:pPr>
            <w:r>
              <w:lastRenderedPageBreak/>
              <w:t>Stretching to maintain reach and statutory universal commitments as part of the children's centre core offer will be extremely difficult with this scale of capacity reduction.  This may impact on performance indicators which may be at risk within the Ofsted inspection framework</w:t>
            </w:r>
          </w:p>
          <w:p w:rsidR="00A12318" w:rsidRDefault="00A12318" w:rsidP="007D412A">
            <w:pPr>
              <w:pStyle w:val="ListParagraph"/>
              <w:numPr>
                <w:ilvl w:val="0"/>
                <w:numId w:val="7"/>
              </w:numPr>
            </w:pPr>
            <w:r>
              <w:t>Scale of vacancies has a significant impact on the services' ability to deliver its published service offer</w:t>
            </w:r>
          </w:p>
          <w:p w:rsidR="00A12318" w:rsidRDefault="00A12318" w:rsidP="007D412A">
            <w:pPr>
              <w:pStyle w:val="ListParagraph"/>
              <w:numPr>
                <w:ilvl w:val="0"/>
                <w:numId w:val="7"/>
              </w:numPr>
            </w:pPr>
            <w:r>
              <w:t>Currently operating below planned caseload capacity and at risk of being unable to achieve the agreed Troubled Families targets.  This puts at risk the TFU anticipated annual income.</w:t>
            </w:r>
          </w:p>
          <w:p w:rsidR="00A12318" w:rsidRDefault="00A12318" w:rsidP="007D412A">
            <w:pPr>
              <w:pStyle w:val="ListParagraph"/>
              <w:numPr>
                <w:ilvl w:val="0"/>
                <w:numId w:val="7"/>
              </w:numPr>
            </w:pPr>
            <w:r>
              <w:t>Public access and group based programmes in neighbourhood centres scaled back.</w:t>
            </w:r>
          </w:p>
          <w:p w:rsidR="00A12318" w:rsidRDefault="00A12318" w:rsidP="007D412A">
            <w:pPr>
              <w:pStyle w:val="ListParagraph"/>
              <w:numPr>
                <w:ilvl w:val="0"/>
                <w:numId w:val="7"/>
              </w:numPr>
            </w:pPr>
            <w:r>
              <w:t xml:space="preserve">Impact on partners who utilise children's centre premises for service delivery within the community, reducing communities access to services </w:t>
            </w:r>
            <w:r w:rsidR="0062728F">
              <w:lastRenderedPageBreak/>
              <w:t>such as private Nursery Day Care</w:t>
            </w:r>
            <w:r>
              <w:t xml:space="preserve"> providers, Job Centre Plus, Citizens Advice Bureau, Welfare Rights, Midwifery and Birth Registrations.</w:t>
            </w:r>
          </w:p>
        </w:tc>
        <w:tc>
          <w:tcPr>
            <w:tcW w:w="1417" w:type="dxa"/>
          </w:tcPr>
          <w:p w:rsidR="00A12318" w:rsidRDefault="001C5946">
            <w:hyperlink r:id="rId14" w:history="1">
              <w:r w:rsidR="00A12318">
                <w:rPr>
                  <w:rStyle w:val="Hyperlink"/>
                </w:rPr>
                <w:t>Jan 18 Item 4 App C</w:t>
              </w:r>
            </w:hyperlink>
          </w:p>
        </w:tc>
        <w:tc>
          <w:tcPr>
            <w:tcW w:w="1701" w:type="dxa"/>
          </w:tcPr>
          <w:p w:rsidR="00A12318" w:rsidRDefault="00A12318">
            <w:r>
              <w:t>Children's Services</w:t>
            </w:r>
          </w:p>
        </w:tc>
      </w:tr>
      <w:tr w:rsidR="00A12318" w:rsidTr="00133F17">
        <w:tc>
          <w:tcPr>
            <w:tcW w:w="1737" w:type="dxa"/>
          </w:tcPr>
          <w:p w:rsidR="00A12318" w:rsidRDefault="00A12318">
            <w:r>
              <w:t>Special Guardianship Order (SGO) Payments</w:t>
            </w:r>
          </w:p>
        </w:tc>
        <w:tc>
          <w:tcPr>
            <w:tcW w:w="1283" w:type="dxa"/>
          </w:tcPr>
          <w:p w:rsidR="00A12318" w:rsidRDefault="00A12318">
            <w:r>
              <w:t>£0.120m</w:t>
            </w:r>
          </w:p>
        </w:tc>
        <w:tc>
          <w:tcPr>
            <w:tcW w:w="1283" w:type="dxa"/>
          </w:tcPr>
          <w:p w:rsidR="00A12318" w:rsidRDefault="00A12318">
            <w:r>
              <w:t>£1.190m</w:t>
            </w:r>
          </w:p>
        </w:tc>
        <w:tc>
          <w:tcPr>
            <w:tcW w:w="3211" w:type="dxa"/>
          </w:tcPr>
          <w:p w:rsidR="00A12318" w:rsidRDefault="00A12318">
            <w:r>
              <w:t>Agree to review the SGO policy to consider deducting child tax credit from the baseline means-test allowance that is awarded to a guardian.</w:t>
            </w:r>
          </w:p>
          <w:p w:rsidR="00EA5F0D" w:rsidRDefault="00EA5F0D"/>
          <w:p w:rsidR="00A12318" w:rsidRDefault="00A12318" w:rsidP="00EA5F0D">
            <w:r>
              <w:t xml:space="preserve">To apply the revised policy to new applications with effect from 1 April 2018, and to implement a rolling reassessment programme </w:t>
            </w:r>
            <w:r>
              <w:lastRenderedPageBreak/>
              <w:t xml:space="preserve">for existing Guardians from that date.  </w:t>
            </w:r>
          </w:p>
        </w:tc>
        <w:tc>
          <w:tcPr>
            <w:tcW w:w="3969" w:type="dxa"/>
          </w:tcPr>
          <w:p w:rsidR="00A12318" w:rsidRDefault="00A12318">
            <w:r>
              <w:lastRenderedPageBreak/>
              <w:t>This proposal will require CSC to have evidence of the additional child tax credit entitlement.  Gathering this additional information within the strict court timescales will impact on resources.  It is proposed that a Financial Assistant</w:t>
            </w:r>
            <w:r w:rsidR="00EA5F0D">
              <w:t xml:space="preserve"> post be established at Grade 6.</w:t>
            </w:r>
          </w:p>
          <w:p w:rsidR="00EA5F0D" w:rsidRDefault="00EA5F0D"/>
          <w:p w:rsidR="00A12318" w:rsidRDefault="00A12318">
            <w:r>
              <w:t>Prospective guardians may need additional support to understand their entitlement.</w:t>
            </w:r>
          </w:p>
          <w:p w:rsidR="00A12318" w:rsidRDefault="00A12318"/>
          <w:p w:rsidR="00A12318" w:rsidRDefault="00A12318">
            <w:r>
              <w:t>Upon granting of an Order a child or young person ceases to be looked after.  There will be an impact on both social worker resource and on placement costs of a child or young person being looked after rather than being subject to SGO.  There could be resultant pressure on social care services if guardians perceive the change in policy will have a negative financial impact.</w:t>
            </w:r>
          </w:p>
          <w:p w:rsidR="00A12318" w:rsidRDefault="00A12318"/>
        </w:tc>
        <w:tc>
          <w:tcPr>
            <w:tcW w:w="1417" w:type="dxa"/>
          </w:tcPr>
          <w:p w:rsidR="00A12318" w:rsidRDefault="001C5946">
            <w:hyperlink r:id="rId15" w:history="1">
              <w:r w:rsidR="00A12318">
                <w:rPr>
                  <w:rStyle w:val="Hyperlink"/>
                </w:rPr>
                <w:t>Jan 18 Item 4 App D</w:t>
              </w:r>
            </w:hyperlink>
          </w:p>
        </w:tc>
        <w:tc>
          <w:tcPr>
            <w:tcW w:w="1701" w:type="dxa"/>
          </w:tcPr>
          <w:p w:rsidR="00A12318" w:rsidRDefault="00A12318">
            <w:r>
              <w:t>Children's Services</w:t>
            </w:r>
          </w:p>
        </w:tc>
      </w:tr>
      <w:tr w:rsidR="00A12318" w:rsidTr="00133F17">
        <w:tc>
          <w:tcPr>
            <w:tcW w:w="1737" w:type="dxa"/>
          </w:tcPr>
          <w:p w:rsidR="00A12318" w:rsidRDefault="00A12318">
            <w:r>
              <w:t>Section 17 Payments</w:t>
            </w:r>
          </w:p>
        </w:tc>
        <w:tc>
          <w:tcPr>
            <w:tcW w:w="1283" w:type="dxa"/>
          </w:tcPr>
          <w:p w:rsidR="00A12318" w:rsidRDefault="00A12318">
            <w:r>
              <w:t>£0.350m</w:t>
            </w:r>
          </w:p>
        </w:tc>
        <w:tc>
          <w:tcPr>
            <w:tcW w:w="1283" w:type="dxa"/>
          </w:tcPr>
          <w:p w:rsidR="00A12318" w:rsidRDefault="00A12318">
            <w:r>
              <w:t>£0.350m</w:t>
            </w:r>
          </w:p>
        </w:tc>
        <w:tc>
          <w:tcPr>
            <w:tcW w:w="3211" w:type="dxa"/>
          </w:tcPr>
          <w:p w:rsidR="00A12318" w:rsidRDefault="00A12318">
            <w:r>
              <w:t>Agree to cease a range of payments made to children, families and carers under S17 of the Children's Act.</w:t>
            </w:r>
          </w:p>
          <w:p w:rsidR="00A12318" w:rsidRDefault="00A12318"/>
          <w:p w:rsidR="00A12318" w:rsidRDefault="00A12318">
            <w:r>
              <w:t>Agree to review commissioning arrangements for support in the community, to assist children and families remaining together.</w:t>
            </w:r>
          </w:p>
        </w:tc>
        <w:tc>
          <w:tcPr>
            <w:tcW w:w="3969" w:type="dxa"/>
          </w:tcPr>
          <w:p w:rsidR="00A12318" w:rsidRDefault="00A12318">
            <w:r>
              <w:t>Children and families may not receive interventions and support which would de-escalate/prevent escalation of needs.  If not considered and managed carefully might increase CLA numbers.</w:t>
            </w:r>
          </w:p>
          <w:p w:rsidR="00A12318" w:rsidRDefault="00A12318"/>
          <w:p w:rsidR="00A12318" w:rsidRDefault="00A12318">
            <w:r>
              <w:t>There may be a resultant pressure on in-house and existing commissioned services to provide alternatives to the one-off interventions that have been</w:t>
            </w:r>
            <w:r w:rsidR="00CA7C38">
              <w:t xml:space="preserve"> purchased using S17 funding. </w:t>
            </w:r>
          </w:p>
          <w:p w:rsidR="0062728F" w:rsidRDefault="0062728F"/>
        </w:tc>
        <w:tc>
          <w:tcPr>
            <w:tcW w:w="1417" w:type="dxa"/>
          </w:tcPr>
          <w:p w:rsidR="00A12318" w:rsidRDefault="001C5946">
            <w:hyperlink r:id="rId16" w:history="1">
              <w:r w:rsidR="00A12318">
                <w:rPr>
                  <w:rStyle w:val="Hyperlink"/>
                </w:rPr>
                <w:t>Jan 18 Item 4 App D</w:t>
              </w:r>
            </w:hyperlink>
          </w:p>
        </w:tc>
        <w:tc>
          <w:tcPr>
            <w:tcW w:w="1701" w:type="dxa"/>
          </w:tcPr>
          <w:p w:rsidR="00A12318" w:rsidRDefault="00A12318">
            <w:r>
              <w:t>Children's Services</w:t>
            </w:r>
          </w:p>
        </w:tc>
      </w:tr>
      <w:tr w:rsidR="00A12318" w:rsidTr="00133F17">
        <w:tc>
          <w:tcPr>
            <w:tcW w:w="1737" w:type="dxa"/>
          </w:tcPr>
          <w:p w:rsidR="00A12318" w:rsidRDefault="00A12318">
            <w:r>
              <w:lastRenderedPageBreak/>
              <w:t>Learning Excellence</w:t>
            </w:r>
          </w:p>
          <w:p w:rsidR="00A12318" w:rsidRDefault="00A12318"/>
        </w:tc>
        <w:tc>
          <w:tcPr>
            <w:tcW w:w="1283" w:type="dxa"/>
          </w:tcPr>
          <w:p w:rsidR="00A12318" w:rsidRDefault="00A12318">
            <w:r>
              <w:t>£0.158m</w:t>
            </w:r>
          </w:p>
        </w:tc>
        <w:tc>
          <w:tcPr>
            <w:tcW w:w="1283" w:type="dxa"/>
          </w:tcPr>
          <w:p w:rsidR="00A12318" w:rsidRDefault="00A12318">
            <w:r>
              <w:t>£0.789m</w:t>
            </w:r>
          </w:p>
        </w:tc>
        <w:tc>
          <w:tcPr>
            <w:tcW w:w="3211" w:type="dxa"/>
          </w:tcPr>
          <w:p w:rsidR="00A12318" w:rsidRDefault="00A12318" w:rsidP="00F37B34">
            <w:r>
              <w:t>Agreement for the service to enter into new markets i.e. other local authority areas.</w:t>
            </w:r>
          </w:p>
          <w:p w:rsidR="00A12318" w:rsidRDefault="00A12318" w:rsidP="00F37B34"/>
          <w:p w:rsidR="00A12318" w:rsidRDefault="00A12318" w:rsidP="00F37B34">
            <w:r>
              <w:t>Agreement for an increase in the workforce by 1.00fte at Grade 10 for core marketing role to support growth opportunities across all traded services.</w:t>
            </w:r>
          </w:p>
        </w:tc>
        <w:tc>
          <w:tcPr>
            <w:tcW w:w="3969" w:type="dxa"/>
          </w:tcPr>
          <w:p w:rsidR="00A12318" w:rsidRDefault="00A12318" w:rsidP="0062728F">
            <w:pPr>
              <w:pStyle w:val="ListParagraph"/>
              <w:numPr>
                <w:ilvl w:val="0"/>
                <w:numId w:val="8"/>
              </w:numPr>
            </w:pPr>
            <w:r>
              <w:t>Additional training/bedding in period for existing and new staff, smaller workforce delivering same quantity of work.</w:t>
            </w:r>
          </w:p>
          <w:p w:rsidR="00A12318" w:rsidRDefault="00A12318" w:rsidP="0062728F">
            <w:pPr>
              <w:pStyle w:val="ListParagraph"/>
              <w:numPr>
                <w:ilvl w:val="0"/>
                <w:numId w:val="8"/>
              </w:numPr>
            </w:pPr>
            <w:r>
              <w:t xml:space="preserve">Increased exposure, both nationally and internationally, of </w:t>
            </w:r>
            <w:r w:rsidR="0062728F">
              <w:t>LPDS curriculum publications thu</w:t>
            </w:r>
            <w:r>
              <w:t xml:space="preserve">s raising awareness of Lancashire services and increasing income benefiting the </w:t>
            </w:r>
            <w:r w:rsidR="0062728F">
              <w:t>council and Lancashire schools</w:t>
            </w:r>
            <w:r>
              <w:t>.</w:t>
            </w:r>
          </w:p>
          <w:p w:rsidR="00A12318" w:rsidRDefault="00A12318" w:rsidP="0062728F">
            <w:pPr>
              <w:pStyle w:val="ListParagraph"/>
              <w:numPr>
                <w:ilvl w:val="0"/>
                <w:numId w:val="8"/>
              </w:numPr>
            </w:pPr>
            <w:r>
              <w:t>Improved awareness of how the curriculum can be enhanced to encourage ch</w:t>
            </w:r>
            <w:r w:rsidR="0062728F">
              <w:t>ildren to be physically active</w:t>
            </w:r>
            <w:r>
              <w:t>.</w:t>
            </w:r>
          </w:p>
          <w:p w:rsidR="00A12318" w:rsidRDefault="00A12318" w:rsidP="0062728F">
            <w:pPr>
              <w:pStyle w:val="ListParagraph"/>
              <w:numPr>
                <w:ilvl w:val="0"/>
                <w:numId w:val="8"/>
              </w:numPr>
            </w:pPr>
            <w:r>
              <w:t>Require policy approval to enter into new markets.</w:t>
            </w:r>
          </w:p>
          <w:p w:rsidR="00A12318" w:rsidRDefault="00A12318" w:rsidP="0002346E">
            <w:pPr>
              <w:pStyle w:val="ListParagraph"/>
              <w:ind w:left="360"/>
            </w:pPr>
          </w:p>
        </w:tc>
        <w:tc>
          <w:tcPr>
            <w:tcW w:w="1417" w:type="dxa"/>
          </w:tcPr>
          <w:p w:rsidR="00A12318" w:rsidRDefault="001C5946" w:rsidP="00ED459F">
            <w:hyperlink r:id="rId17" w:history="1">
              <w:r w:rsidR="00A12318" w:rsidRPr="00E11CE8">
                <w:rPr>
                  <w:rStyle w:val="Hyperlink"/>
                </w:rPr>
                <w:t>Sept 17 Item 6 App D</w:t>
              </w:r>
            </w:hyperlink>
          </w:p>
        </w:tc>
        <w:tc>
          <w:tcPr>
            <w:tcW w:w="1701" w:type="dxa"/>
          </w:tcPr>
          <w:p w:rsidR="00A12318" w:rsidRDefault="00A12318" w:rsidP="00ED459F">
            <w:r>
              <w:t>Education</w:t>
            </w:r>
          </w:p>
        </w:tc>
      </w:tr>
      <w:tr w:rsidR="00A12318" w:rsidTr="00133F17">
        <w:tc>
          <w:tcPr>
            <w:tcW w:w="1737" w:type="dxa"/>
          </w:tcPr>
          <w:p w:rsidR="00A12318" w:rsidRDefault="00A12318">
            <w:r>
              <w:t>Music Service</w:t>
            </w:r>
          </w:p>
          <w:p w:rsidR="00A12318" w:rsidRDefault="00A12318"/>
        </w:tc>
        <w:tc>
          <w:tcPr>
            <w:tcW w:w="1283" w:type="dxa"/>
          </w:tcPr>
          <w:p w:rsidR="00A12318" w:rsidRDefault="00A12318">
            <w:r>
              <w:t>£0.150m</w:t>
            </w:r>
          </w:p>
        </w:tc>
        <w:tc>
          <w:tcPr>
            <w:tcW w:w="1283" w:type="dxa"/>
          </w:tcPr>
          <w:p w:rsidR="00A12318" w:rsidRDefault="00A12318">
            <w:r>
              <w:t>£0.150m</w:t>
            </w:r>
          </w:p>
        </w:tc>
        <w:tc>
          <w:tcPr>
            <w:tcW w:w="3211" w:type="dxa"/>
          </w:tcPr>
          <w:p w:rsidR="00A12318" w:rsidRDefault="00A12318" w:rsidP="00F37B34">
            <w:r>
              <w:t>Agreement for the service to enter new markets i.e. other local authority areas.</w:t>
            </w:r>
          </w:p>
        </w:tc>
        <w:tc>
          <w:tcPr>
            <w:tcW w:w="3969" w:type="dxa"/>
          </w:tcPr>
          <w:p w:rsidR="00A12318" w:rsidRDefault="00A12318" w:rsidP="0062728F">
            <w:pPr>
              <w:pStyle w:val="ListParagraph"/>
              <w:numPr>
                <w:ilvl w:val="0"/>
                <w:numId w:val="9"/>
              </w:numPr>
            </w:pPr>
            <w:r>
              <w:t>Potential loss of market share in Lancashire for Lancashire Music Service as may see increased competition.</w:t>
            </w:r>
          </w:p>
          <w:p w:rsidR="00A12318" w:rsidRDefault="00A12318" w:rsidP="0062728F">
            <w:pPr>
              <w:pStyle w:val="ListParagraph"/>
              <w:numPr>
                <w:ilvl w:val="0"/>
                <w:numId w:val="9"/>
              </w:numPr>
            </w:pPr>
            <w:r>
              <w:t>Recruitment and increase in management and business support capacity may be required.</w:t>
            </w:r>
          </w:p>
          <w:p w:rsidR="00A12318" w:rsidRDefault="00A12318" w:rsidP="0062728F">
            <w:pPr>
              <w:pStyle w:val="ListParagraph"/>
              <w:numPr>
                <w:ilvl w:val="0"/>
                <w:numId w:val="9"/>
              </w:numPr>
            </w:pPr>
            <w:r>
              <w:lastRenderedPageBreak/>
              <w:t>These initiatives will increase revenue streams, have a wider impact on young people and raise profile of music with a greater range of stakeholders across the community.</w:t>
            </w:r>
          </w:p>
          <w:p w:rsidR="00A12318" w:rsidRDefault="00A12318" w:rsidP="00692A84">
            <w:pPr>
              <w:pStyle w:val="ListParagraph"/>
              <w:ind w:left="360"/>
            </w:pPr>
          </w:p>
        </w:tc>
        <w:tc>
          <w:tcPr>
            <w:tcW w:w="1417" w:type="dxa"/>
          </w:tcPr>
          <w:p w:rsidR="00A12318" w:rsidRDefault="001C5946" w:rsidP="00ED459F">
            <w:hyperlink r:id="rId18" w:history="1">
              <w:r w:rsidR="00A12318" w:rsidRPr="00E11CE8">
                <w:rPr>
                  <w:rStyle w:val="Hyperlink"/>
                </w:rPr>
                <w:t>Sept 17 Item 6 App D</w:t>
              </w:r>
            </w:hyperlink>
          </w:p>
        </w:tc>
        <w:tc>
          <w:tcPr>
            <w:tcW w:w="1701" w:type="dxa"/>
          </w:tcPr>
          <w:p w:rsidR="00A12318" w:rsidRDefault="00A12318" w:rsidP="00ED459F">
            <w:r>
              <w:t>Education</w:t>
            </w:r>
          </w:p>
        </w:tc>
      </w:tr>
      <w:tr w:rsidR="00A12318" w:rsidTr="00133F17">
        <w:tc>
          <w:tcPr>
            <w:tcW w:w="1737" w:type="dxa"/>
          </w:tcPr>
          <w:p w:rsidR="00A12318" w:rsidRDefault="00A12318" w:rsidP="00DC0C70">
            <w:r>
              <w:t>Outdoor Education</w:t>
            </w:r>
          </w:p>
          <w:p w:rsidR="00A12318" w:rsidRDefault="00A12318" w:rsidP="00DC0C70"/>
        </w:tc>
        <w:tc>
          <w:tcPr>
            <w:tcW w:w="1283" w:type="dxa"/>
          </w:tcPr>
          <w:p w:rsidR="00A12318" w:rsidRDefault="00A12318" w:rsidP="00DC0C70">
            <w:r>
              <w:t>£0.030m</w:t>
            </w:r>
          </w:p>
        </w:tc>
        <w:tc>
          <w:tcPr>
            <w:tcW w:w="1283" w:type="dxa"/>
          </w:tcPr>
          <w:p w:rsidR="00A12318" w:rsidRDefault="00A12318" w:rsidP="00DC0C70">
            <w:r>
              <w:t>£0.030m</w:t>
            </w:r>
          </w:p>
        </w:tc>
        <w:tc>
          <w:tcPr>
            <w:tcW w:w="3211" w:type="dxa"/>
          </w:tcPr>
          <w:p w:rsidR="00A12318" w:rsidRDefault="00A12318" w:rsidP="00DC0C70">
            <w:r>
              <w:t>Agreement for the service to maintain the core Outdoor Education business model and maximise the resource of the sites into different markets.</w:t>
            </w:r>
          </w:p>
          <w:p w:rsidR="0062728F" w:rsidRDefault="0062728F" w:rsidP="00DC0C70"/>
        </w:tc>
        <w:tc>
          <w:tcPr>
            <w:tcW w:w="3969" w:type="dxa"/>
          </w:tcPr>
          <w:p w:rsidR="00A12318" w:rsidRDefault="00A12318" w:rsidP="00DC0C70">
            <w:r>
              <w:t>Increased income will be achieved for each Lancashire Outdoor Education Centre without impacting on core business of delivering outdoor education to the children of Lancashire.</w:t>
            </w:r>
          </w:p>
          <w:p w:rsidR="00A12318" w:rsidRDefault="00A12318" w:rsidP="00DC0C70"/>
        </w:tc>
        <w:tc>
          <w:tcPr>
            <w:tcW w:w="1417" w:type="dxa"/>
          </w:tcPr>
          <w:p w:rsidR="00A12318" w:rsidRDefault="001C5946" w:rsidP="00DC0C70">
            <w:hyperlink r:id="rId19" w:history="1">
              <w:r w:rsidR="00A12318" w:rsidRPr="003D19E4">
                <w:rPr>
                  <w:rStyle w:val="Hyperlink"/>
                </w:rPr>
                <w:t>Sept 17 Item 6 App D</w:t>
              </w:r>
            </w:hyperlink>
          </w:p>
        </w:tc>
        <w:tc>
          <w:tcPr>
            <w:tcW w:w="1701" w:type="dxa"/>
          </w:tcPr>
          <w:p w:rsidR="00A12318" w:rsidRDefault="00A12318" w:rsidP="00DC0C70">
            <w:r>
              <w:t>Education</w:t>
            </w:r>
          </w:p>
        </w:tc>
      </w:tr>
      <w:tr w:rsidR="00A12318" w:rsidTr="00133F17">
        <w:tc>
          <w:tcPr>
            <w:tcW w:w="1737" w:type="dxa"/>
          </w:tcPr>
          <w:p w:rsidR="00A12318" w:rsidRPr="002C25D5" w:rsidRDefault="00A12318" w:rsidP="00DC0C70">
            <w:r w:rsidRPr="002C25D5">
              <w:t>Performance Planning – Schools Portal</w:t>
            </w:r>
          </w:p>
          <w:p w:rsidR="00A12318" w:rsidRPr="002C25D5" w:rsidRDefault="00A12318" w:rsidP="00DC0C70"/>
        </w:tc>
        <w:tc>
          <w:tcPr>
            <w:tcW w:w="1283" w:type="dxa"/>
          </w:tcPr>
          <w:p w:rsidR="00A12318" w:rsidRPr="002C25D5" w:rsidRDefault="00A12318" w:rsidP="00DC0C70">
            <w:r w:rsidRPr="002C25D5">
              <w:t>£0.020m</w:t>
            </w:r>
          </w:p>
        </w:tc>
        <w:tc>
          <w:tcPr>
            <w:tcW w:w="1283" w:type="dxa"/>
          </w:tcPr>
          <w:p w:rsidR="00A12318" w:rsidRPr="002C25D5" w:rsidRDefault="00A12318" w:rsidP="00DC0C70">
            <w:r w:rsidRPr="002C25D5">
              <w:t>£0.020m</w:t>
            </w:r>
          </w:p>
        </w:tc>
        <w:tc>
          <w:tcPr>
            <w:tcW w:w="3211" w:type="dxa"/>
          </w:tcPr>
          <w:p w:rsidR="00A12318" w:rsidRPr="002C25D5" w:rsidRDefault="00A12318" w:rsidP="00DC0C70">
            <w:r>
              <w:t>Agreement for the service to enter into new markets i.e. other local authority areas.</w:t>
            </w:r>
          </w:p>
        </w:tc>
        <w:tc>
          <w:tcPr>
            <w:tcW w:w="3969" w:type="dxa"/>
          </w:tcPr>
          <w:p w:rsidR="00A12318" w:rsidRPr="002C25D5" w:rsidRDefault="00A12318" w:rsidP="00DC0C70">
            <w:r w:rsidRPr="002C25D5">
              <w:t>No impact</w:t>
            </w:r>
            <w:r w:rsidR="00545B84">
              <w:t>.</w:t>
            </w:r>
          </w:p>
        </w:tc>
        <w:tc>
          <w:tcPr>
            <w:tcW w:w="1417" w:type="dxa"/>
          </w:tcPr>
          <w:p w:rsidR="00A12318" w:rsidRDefault="001C5946" w:rsidP="00DC0C70">
            <w:hyperlink r:id="rId20" w:history="1">
              <w:r w:rsidR="00A12318" w:rsidRPr="003D19E4">
                <w:rPr>
                  <w:rStyle w:val="Hyperlink"/>
                </w:rPr>
                <w:t>Sept 17 Item 6 App D</w:t>
              </w:r>
            </w:hyperlink>
          </w:p>
        </w:tc>
        <w:tc>
          <w:tcPr>
            <w:tcW w:w="1701" w:type="dxa"/>
          </w:tcPr>
          <w:p w:rsidR="00A12318" w:rsidRPr="002C25D5" w:rsidRDefault="00A12318" w:rsidP="00DC0C70">
            <w:r>
              <w:t>Education</w:t>
            </w:r>
          </w:p>
        </w:tc>
      </w:tr>
    </w:tbl>
    <w:p w:rsidR="009B248D" w:rsidRDefault="009B248D"/>
    <w:sectPr w:rsidR="009B248D" w:rsidSect="00E64C5B">
      <w:footerReference w:type="defaul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F2F" w:rsidRDefault="00A46F2F" w:rsidP="00A46F2F">
      <w:pPr>
        <w:spacing w:after="0" w:line="240" w:lineRule="auto"/>
      </w:pPr>
      <w:r>
        <w:separator/>
      </w:r>
    </w:p>
  </w:endnote>
  <w:endnote w:type="continuationSeparator" w:id="0">
    <w:p w:rsidR="00A46F2F" w:rsidRDefault="00A46F2F" w:rsidP="00A4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F2F" w:rsidRPr="004C250F" w:rsidRDefault="00A46F2F" w:rsidP="00A46F2F">
    <w:pPr>
      <w:pStyle w:val="Footer"/>
      <w:jc w:val="center"/>
      <w:rPr>
        <w:sz w:val="20"/>
        <w:szCs w:val="20"/>
      </w:rPr>
    </w:pPr>
    <w:r w:rsidRPr="004C250F">
      <w:rPr>
        <w:sz w:val="20"/>
        <w:szCs w:val="20"/>
      </w:rPr>
      <w:t xml:space="preserve">All figures taken from Money Matters – Additional Savings 2018/19 – 2020/21 reports published between September and </w:t>
    </w:r>
    <w:r w:rsidR="00F37B34">
      <w:rPr>
        <w:sz w:val="20"/>
        <w:szCs w:val="20"/>
      </w:rPr>
      <w:t>January 2018</w:t>
    </w:r>
  </w:p>
  <w:p w:rsidR="00A46F2F" w:rsidRDefault="00A46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F2F" w:rsidRDefault="00A46F2F" w:rsidP="00A46F2F">
      <w:pPr>
        <w:spacing w:after="0" w:line="240" w:lineRule="auto"/>
      </w:pPr>
      <w:r>
        <w:separator/>
      </w:r>
    </w:p>
  </w:footnote>
  <w:footnote w:type="continuationSeparator" w:id="0">
    <w:p w:rsidR="00A46F2F" w:rsidRDefault="00A46F2F" w:rsidP="00A46F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17C2D"/>
    <w:multiLevelType w:val="hybridMultilevel"/>
    <w:tmpl w:val="228E1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3F7BC5"/>
    <w:multiLevelType w:val="hybridMultilevel"/>
    <w:tmpl w:val="F42E3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4D2FC5"/>
    <w:multiLevelType w:val="hybridMultilevel"/>
    <w:tmpl w:val="8B4AF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670605"/>
    <w:multiLevelType w:val="hybridMultilevel"/>
    <w:tmpl w:val="912CC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315AA2"/>
    <w:multiLevelType w:val="hybridMultilevel"/>
    <w:tmpl w:val="9B76A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036386"/>
    <w:multiLevelType w:val="hybridMultilevel"/>
    <w:tmpl w:val="9ED62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952050"/>
    <w:multiLevelType w:val="hybridMultilevel"/>
    <w:tmpl w:val="9BA8E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F8473F2"/>
    <w:multiLevelType w:val="hybridMultilevel"/>
    <w:tmpl w:val="CF8A7E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BC5474"/>
    <w:multiLevelType w:val="hybridMultilevel"/>
    <w:tmpl w:val="6188F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0E230C"/>
    <w:multiLevelType w:val="hybridMultilevel"/>
    <w:tmpl w:val="7DE43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8"/>
  </w:num>
  <w:num w:numId="6">
    <w:abstractNumId w:val="9"/>
  </w:num>
  <w:num w:numId="7">
    <w:abstractNumId w:val="3"/>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8D"/>
    <w:rsid w:val="0002346E"/>
    <w:rsid w:val="00133F17"/>
    <w:rsid w:val="00137AD2"/>
    <w:rsid w:val="00155311"/>
    <w:rsid w:val="001727FD"/>
    <w:rsid w:val="0019028E"/>
    <w:rsid w:val="001C5946"/>
    <w:rsid w:val="001E0917"/>
    <w:rsid w:val="001E5CC7"/>
    <w:rsid w:val="00295814"/>
    <w:rsid w:val="00296EA5"/>
    <w:rsid w:val="002C25D5"/>
    <w:rsid w:val="003C1CB3"/>
    <w:rsid w:val="00403F8D"/>
    <w:rsid w:val="00545B84"/>
    <w:rsid w:val="006064D3"/>
    <w:rsid w:val="00607B3F"/>
    <w:rsid w:val="0062728F"/>
    <w:rsid w:val="00692A84"/>
    <w:rsid w:val="007B3D8B"/>
    <w:rsid w:val="007D412A"/>
    <w:rsid w:val="0080407E"/>
    <w:rsid w:val="008C15AF"/>
    <w:rsid w:val="008E13E9"/>
    <w:rsid w:val="008E643F"/>
    <w:rsid w:val="00944C28"/>
    <w:rsid w:val="0096151C"/>
    <w:rsid w:val="009B248D"/>
    <w:rsid w:val="00A12318"/>
    <w:rsid w:val="00A14DE8"/>
    <w:rsid w:val="00A464B7"/>
    <w:rsid w:val="00A46F2F"/>
    <w:rsid w:val="00A836CB"/>
    <w:rsid w:val="00AB22D5"/>
    <w:rsid w:val="00AD6C88"/>
    <w:rsid w:val="00BF612B"/>
    <w:rsid w:val="00C863DF"/>
    <w:rsid w:val="00CA7C38"/>
    <w:rsid w:val="00D04325"/>
    <w:rsid w:val="00D72509"/>
    <w:rsid w:val="00D95B1C"/>
    <w:rsid w:val="00DC0C70"/>
    <w:rsid w:val="00DD1E77"/>
    <w:rsid w:val="00E64C5B"/>
    <w:rsid w:val="00E70DBB"/>
    <w:rsid w:val="00EA5F0D"/>
    <w:rsid w:val="00ED459F"/>
    <w:rsid w:val="00EE1F4F"/>
    <w:rsid w:val="00F22142"/>
    <w:rsid w:val="00F36DA4"/>
    <w:rsid w:val="00F37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E3197-42C1-47FF-B8B1-16B95E66C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2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64D3"/>
    <w:pPr>
      <w:ind w:left="720"/>
      <w:contextualSpacing/>
    </w:pPr>
  </w:style>
  <w:style w:type="paragraph" w:styleId="Header">
    <w:name w:val="header"/>
    <w:basedOn w:val="Normal"/>
    <w:link w:val="HeaderChar"/>
    <w:uiPriority w:val="99"/>
    <w:unhideWhenUsed/>
    <w:rsid w:val="00A46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F2F"/>
  </w:style>
  <w:style w:type="paragraph" w:styleId="Footer">
    <w:name w:val="footer"/>
    <w:basedOn w:val="Normal"/>
    <w:link w:val="FooterChar"/>
    <w:uiPriority w:val="99"/>
    <w:unhideWhenUsed/>
    <w:rsid w:val="00A46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F2F"/>
  </w:style>
  <w:style w:type="paragraph" w:styleId="BalloonText">
    <w:name w:val="Balloon Text"/>
    <w:basedOn w:val="Normal"/>
    <w:link w:val="BalloonTextChar"/>
    <w:uiPriority w:val="99"/>
    <w:semiHidden/>
    <w:unhideWhenUsed/>
    <w:rsid w:val="00DD1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E77"/>
    <w:rPr>
      <w:rFonts w:ascii="Segoe UI" w:hAnsi="Segoe UI" w:cs="Segoe UI"/>
      <w:sz w:val="18"/>
      <w:szCs w:val="18"/>
    </w:rPr>
  </w:style>
  <w:style w:type="character" w:styleId="Hyperlink">
    <w:name w:val="Hyperlink"/>
    <w:basedOn w:val="DefaultParagraphFont"/>
    <w:uiPriority w:val="99"/>
    <w:unhideWhenUsed/>
    <w:rsid w:val="00DC0C70"/>
    <w:rPr>
      <w:color w:val="0563C1" w:themeColor="hyperlink"/>
      <w:u w:val="single"/>
    </w:rPr>
  </w:style>
  <w:style w:type="character" w:styleId="FollowedHyperlink">
    <w:name w:val="FollowedHyperlink"/>
    <w:basedOn w:val="DefaultParagraphFont"/>
    <w:uiPriority w:val="99"/>
    <w:semiHidden/>
    <w:unhideWhenUsed/>
    <w:rsid w:val="001727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cil.lancashire.gov.uk/ieListDocuments.aspx?CId=122&amp;MId=6702&amp;Ver=4" TargetMode="External"/><Relationship Id="rId13" Type="http://schemas.openxmlformats.org/officeDocument/2006/relationships/hyperlink" Target="http://council.lancashire.gov.uk/ieListDocuments.aspx?CId=122&amp;MId=6707&amp;Ver=4" TargetMode="External"/><Relationship Id="rId18" Type="http://schemas.openxmlformats.org/officeDocument/2006/relationships/hyperlink" Target="http://council.lancashire.gov.uk/ieListDocuments.aspx?CId=122&amp;MId=6702&amp;Ver=4"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ouncil.lancashire.gov.uk/ieListDocuments.aspx?CId=122&amp;MId=6707&amp;Ver=4" TargetMode="External"/><Relationship Id="rId17" Type="http://schemas.openxmlformats.org/officeDocument/2006/relationships/hyperlink" Target="http://council.lancashire.gov.uk/ieListDocuments.aspx?CId=122&amp;MId=6702&amp;Ver=4" TargetMode="External"/><Relationship Id="rId2" Type="http://schemas.openxmlformats.org/officeDocument/2006/relationships/numbering" Target="numbering.xml"/><Relationship Id="rId16" Type="http://schemas.openxmlformats.org/officeDocument/2006/relationships/hyperlink" Target="http://council.lancashire.gov.uk/ieListDocuments.aspx?CId=122&amp;MId=6707&amp;Ver=4" TargetMode="External"/><Relationship Id="rId20" Type="http://schemas.openxmlformats.org/officeDocument/2006/relationships/hyperlink" Target="http://council.lancashire.gov.uk/ieListDocuments.aspx?CId=122&amp;MId=6702&amp;Ver=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uncil.lancashire.gov.uk/ieListDocuments.aspx?CId=122&amp;MId=6703&amp;Ver=4" TargetMode="External"/><Relationship Id="rId5" Type="http://schemas.openxmlformats.org/officeDocument/2006/relationships/webSettings" Target="webSettings.xml"/><Relationship Id="rId15" Type="http://schemas.openxmlformats.org/officeDocument/2006/relationships/hyperlink" Target="http://council.lancashire.gov.uk/ieListDocuments.aspx?CId=122&amp;MId=6707&amp;Ver=4" TargetMode="External"/><Relationship Id="rId23" Type="http://schemas.openxmlformats.org/officeDocument/2006/relationships/theme" Target="theme/theme1.xml"/><Relationship Id="rId10" Type="http://schemas.openxmlformats.org/officeDocument/2006/relationships/hyperlink" Target="http://council.lancashire.gov.uk/ieListDocuments.aspx?CId=122&amp;MId=6702&amp;Ver=4" TargetMode="External"/><Relationship Id="rId19" Type="http://schemas.openxmlformats.org/officeDocument/2006/relationships/hyperlink" Target="http://council.lancashire.gov.uk/ieListDocuments.aspx?CId=122&amp;MId=6702&amp;Ver=4" TargetMode="External"/><Relationship Id="rId4" Type="http://schemas.openxmlformats.org/officeDocument/2006/relationships/settings" Target="settings.xml"/><Relationship Id="rId9" Type="http://schemas.openxmlformats.org/officeDocument/2006/relationships/hyperlink" Target="http://council.lancashire.gov.uk/ieListDocuments.aspx?CId=122&amp;MId=6702&amp;Ver=4" TargetMode="External"/><Relationship Id="rId14" Type="http://schemas.openxmlformats.org/officeDocument/2006/relationships/hyperlink" Target="http://council.lancashire.gov.uk/ieListDocuments.aspx?CId=122&amp;MId=6707&amp;Ver=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C80BF-108A-4443-BDAA-88704776B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Parker, Sam</cp:lastModifiedBy>
  <cp:revision>6</cp:revision>
  <cp:lastPrinted>2018-01-15T11:42:00Z</cp:lastPrinted>
  <dcterms:created xsi:type="dcterms:W3CDTF">2018-01-16T11:35:00Z</dcterms:created>
  <dcterms:modified xsi:type="dcterms:W3CDTF">2018-01-22T11:09:00Z</dcterms:modified>
</cp:coreProperties>
</file>